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98788D">
        <w:t>37.862.801,00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</w:t>
      </w:r>
      <w:r w:rsidRPr="00F103DD">
        <w:rPr>
          <w:rFonts w:eastAsia="Times New Roman"/>
          <w:lang w:val="sr-Cyrl-CS"/>
        </w:rPr>
        <w:t xml:space="preserve">износу </w:t>
      </w:r>
      <w:r w:rsidR="00F8452B" w:rsidRPr="00F103DD">
        <w:rPr>
          <w:b/>
          <w:lang w:val="sr-Cyrl-CS"/>
        </w:rPr>
        <w:t>37.</w:t>
      </w:r>
      <w:r w:rsidR="00D72065" w:rsidRPr="00F103DD">
        <w:rPr>
          <w:b/>
          <w:lang w:val="sr-Cyrl-CS"/>
        </w:rPr>
        <w:t>8</w:t>
      </w:r>
      <w:r w:rsidR="00C64CC0" w:rsidRPr="00F103DD">
        <w:rPr>
          <w:b/>
          <w:lang w:val="sr-Cyrl-CS"/>
        </w:rPr>
        <w:t>44</w:t>
      </w:r>
      <w:r w:rsidR="00F8452B" w:rsidRPr="00F103DD">
        <w:rPr>
          <w:b/>
          <w:lang w:val="sr-Cyrl-CS"/>
        </w:rPr>
        <w:t>.</w:t>
      </w:r>
      <w:r w:rsidR="00C64CC0" w:rsidRPr="00F103DD">
        <w:rPr>
          <w:b/>
          <w:lang w:val="sr-Cyrl-CS"/>
        </w:rPr>
        <w:t>796</w:t>
      </w:r>
      <w:r w:rsidR="00F8452B" w:rsidRPr="00F103DD">
        <w:rPr>
          <w:b/>
          <w:lang w:val="sr-Cyrl-CS"/>
        </w:rPr>
        <w:t>,</w:t>
      </w:r>
      <w:r w:rsidR="00C64CC0" w:rsidRPr="00F103DD">
        <w:rPr>
          <w:b/>
          <w:lang w:val="sr-Cyrl-CS"/>
        </w:rPr>
        <w:t>97</w:t>
      </w:r>
      <w:r w:rsidR="00F8452B">
        <w:rPr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C64CC0" w:rsidRPr="00F103DD">
        <w:rPr>
          <w:lang w:val="sr-Cyrl-RS"/>
        </w:rPr>
        <w:t>99</w:t>
      </w:r>
      <w:r w:rsidR="0098788D" w:rsidRPr="00F103DD">
        <w:t>,</w:t>
      </w:r>
      <w:bookmarkStart w:id="0" w:name="_GoBack"/>
      <w:bookmarkEnd w:id="0"/>
      <w:r w:rsidR="00C64CC0">
        <w:rPr>
          <w:lang w:val="sr-Cyrl-RS"/>
        </w:rPr>
        <w:t>95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086D72">
        <w:rPr>
          <w:lang w:val="sr-Cyrl-RS"/>
        </w:rPr>
        <w:t xml:space="preserve"> у 2022.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-1</w:t>
      </w:r>
      <w:r>
        <w:rPr>
          <w:rFonts w:eastAsia="Times New Roman"/>
          <w:b/>
          <w:sz w:val="20"/>
          <w:szCs w:val="20"/>
          <w:lang w:val="sr-Cyrl-CS"/>
        </w:rPr>
        <w:t>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 w:rsidRPr="00385146">
        <w:rPr>
          <w:rFonts w:eastAsia="Times New Roman"/>
          <w:b/>
          <w:sz w:val="20"/>
          <w:szCs w:val="20"/>
          <w:lang w:val="sr-Cyrl-RS"/>
        </w:rPr>
        <w:t xml:space="preserve">остављање </w:t>
      </w:r>
      <w:r w:rsidRPr="00074006">
        <w:rPr>
          <w:rFonts w:eastAsia="Times New Roman"/>
          <w:b/>
          <w:sz w:val="20"/>
          <w:szCs w:val="20"/>
          <w:lang w:val="sr-Cyrl-RS"/>
        </w:rPr>
        <w:t>техничких средстава за успоравање саобраћаја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BF580F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0B22E2" w:rsidRPr="00315C80" w:rsidTr="00BF580F">
        <w:trPr>
          <w:trHeight w:val="776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 w:rsidR="00CF02B3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F8452B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</w:t>
            </w:r>
            <w:r w:rsidR="000B22E2" w:rsidRPr="00315C80">
              <w:rPr>
                <w:sz w:val="18"/>
                <w:szCs w:val="18"/>
                <w:lang w:val="sr-Cyrl-RS"/>
              </w:rPr>
              <w:t xml:space="preserve"> </w:t>
            </w:r>
            <w:r w:rsidR="00CD2F14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0B22E2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саобраћаја и саобраћајне сигнализације (успоравање саобраћаја) на раскрсници улица Милете Протића и Грује Дедића у Сомбору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2E2" w:rsidRPr="00C64CC0" w:rsidRDefault="00C64CC0" w:rsidP="000B22E2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284.344,97</w:t>
            </w:r>
          </w:p>
        </w:tc>
      </w:tr>
      <w:tr w:rsidR="00CF02B3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02B3" w:rsidRPr="00315C80" w:rsidRDefault="00CF02B3" w:rsidP="00CF02B3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02B3" w:rsidRPr="00C64CC0" w:rsidRDefault="00C64CC0" w:rsidP="000B22E2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284.344,97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CD2F14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 w:rsidRPr="009D0478">
        <w:rPr>
          <w:rFonts w:eastAsia="Times New Roman"/>
          <w:b/>
          <w:sz w:val="20"/>
          <w:szCs w:val="20"/>
          <w:lang w:val="sr-Cyrl-CS"/>
        </w:rPr>
        <w:t>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="00F8452B">
        <w:rPr>
          <w:rFonts w:eastAsia="Times New Roman"/>
          <w:b/>
          <w:sz w:val="20"/>
          <w:szCs w:val="20"/>
          <w:lang w:val="sr-Cyrl-RS"/>
        </w:rPr>
        <w:t>П</w:t>
      </w:r>
      <w:r>
        <w:rPr>
          <w:rFonts w:eastAsia="Times New Roman"/>
          <w:b/>
          <w:sz w:val="20"/>
          <w:szCs w:val="20"/>
          <w:lang w:val="sr-Cyrl-RS"/>
        </w:rPr>
        <w:t>остављање</w:t>
      </w:r>
      <w:r w:rsidRPr="00074006">
        <w:rPr>
          <w:rFonts w:eastAsia="Times New Roman"/>
          <w:b/>
          <w:sz w:val="20"/>
          <w:szCs w:val="20"/>
          <w:lang w:val="sr-Cyrl-RS"/>
        </w:rPr>
        <w:t xml:space="preserve"> брзинских дисплеја на локацијама: улазак у насељено место, „зона 30“ и „зона успореног саобраћаја“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постављања саобраћајне сигнализационе опреме (брзинских дисплеја) на прилазним путевима у Град Суботици (улица Фрање Клуза из правца Сомбора, Биковачки пут из правца Бикова и Београдски пут из правца Бачке Тополе)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3C5806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88</w:t>
            </w:r>
            <w:r w:rsidR="003C5806">
              <w:rPr>
                <w:sz w:val="18"/>
                <w:szCs w:val="18"/>
                <w:lang w:val="sr-Cyrl-RS"/>
              </w:rPr>
              <w:t>6</w:t>
            </w:r>
            <w:r w:rsidRPr="00CD2F14">
              <w:rPr>
                <w:sz w:val="18"/>
                <w:szCs w:val="18"/>
              </w:rPr>
              <w:t>.</w:t>
            </w:r>
            <w:r w:rsidR="003C5806">
              <w:rPr>
                <w:sz w:val="18"/>
                <w:szCs w:val="18"/>
                <w:lang w:val="sr-Cyrl-RS"/>
              </w:rPr>
              <w:t>140</w:t>
            </w:r>
            <w:r w:rsidRPr="00CD2F14">
              <w:rPr>
                <w:sz w:val="18"/>
                <w:szCs w:val="18"/>
              </w:rPr>
              <w:t>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3C5806">
            <w:pPr>
              <w:jc w:val="right"/>
            </w:pPr>
            <w:r w:rsidRPr="00E358C6">
              <w:rPr>
                <w:b/>
                <w:sz w:val="18"/>
                <w:szCs w:val="18"/>
              </w:rPr>
              <w:t>88</w:t>
            </w:r>
            <w:r w:rsidR="003C5806">
              <w:rPr>
                <w:b/>
                <w:sz w:val="18"/>
                <w:szCs w:val="18"/>
                <w:lang w:val="sr-Cyrl-RS"/>
              </w:rPr>
              <w:t>6</w:t>
            </w:r>
            <w:r w:rsidRPr="00E358C6">
              <w:rPr>
                <w:b/>
                <w:sz w:val="18"/>
                <w:szCs w:val="18"/>
              </w:rPr>
              <w:t>.</w:t>
            </w:r>
            <w:r w:rsidR="003C5806">
              <w:rPr>
                <w:b/>
                <w:sz w:val="18"/>
                <w:szCs w:val="18"/>
                <w:lang w:val="sr-Cyrl-RS"/>
              </w:rPr>
              <w:t>140</w:t>
            </w:r>
            <w:r w:rsidRPr="00E358C6">
              <w:rPr>
                <w:b/>
                <w:sz w:val="18"/>
                <w:szCs w:val="18"/>
              </w:rPr>
              <w:t>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/>
          <w:b/>
          <w:sz w:val="20"/>
          <w:szCs w:val="20"/>
          <w:lang w:val="sr-Cyrl-CS"/>
        </w:rPr>
        <w:t>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="00F8452B">
        <w:rPr>
          <w:rFonts w:eastAsia="Times New Roman"/>
          <w:b/>
          <w:sz w:val="20"/>
          <w:szCs w:val="20"/>
          <w:lang w:val="sr-Cyrl-CS"/>
        </w:rPr>
        <w:t>О</w:t>
      </w:r>
      <w:r>
        <w:rPr>
          <w:rFonts w:eastAsia="Times New Roman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изградње светлосне сигнализације на раскрсници Обала Соње Маринковић и Обилићеве у Зрењанину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right"/>
              <w:rPr>
                <w:sz w:val="18"/>
                <w:szCs w:val="18"/>
              </w:rPr>
            </w:pPr>
            <w:r w:rsidRPr="00CD2F14">
              <w:rPr>
                <w:sz w:val="18"/>
                <w:szCs w:val="18"/>
              </w:rPr>
              <w:t>3.000.000,00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CD2F14" w:rsidP="002E5C19">
            <w:pPr>
              <w:jc w:val="right"/>
            </w:pPr>
            <w:r w:rsidRPr="0076006E">
              <w:rPr>
                <w:b/>
                <w:sz w:val="18"/>
                <w:szCs w:val="18"/>
              </w:rPr>
              <w:t>3.000.000,00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CD2F14" w:rsidRPr="00F8452B" w:rsidRDefault="00CD2F14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 w:rsidR="002A519D">
        <w:rPr>
          <w:rFonts w:eastAsia="Times New Roman" w:cs="Arial"/>
          <w:b/>
          <w:sz w:val="20"/>
          <w:szCs w:val="20"/>
          <w:lang w:val="sr-Latn-RS"/>
        </w:rPr>
        <w:t>I</w:t>
      </w:r>
      <w:r>
        <w:rPr>
          <w:rFonts w:eastAsia="Times New Roman" w:cs="Arial"/>
          <w:b/>
          <w:sz w:val="20"/>
          <w:szCs w:val="20"/>
          <w:lang w:val="sr-Cyrl-CS"/>
        </w:rPr>
        <w:t>-4</w:t>
      </w:r>
      <w:r w:rsidRPr="009D0478">
        <w:rPr>
          <w:rFonts w:eastAsia="Times New Roman" w:cs="Arial"/>
          <w:b/>
          <w:sz w:val="20"/>
          <w:szCs w:val="20"/>
          <w:lang w:val="sr-Cyrl-CS"/>
        </w:rPr>
        <w:t>)</w:t>
      </w:r>
      <w:r w:rsidR="00F8452B">
        <w:rPr>
          <w:rFonts w:eastAsia="Times New Roman" w:cs="Arial"/>
          <w:b/>
          <w:sz w:val="20"/>
          <w:szCs w:val="20"/>
          <w:lang w:val="sr-Cyrl-CS"/>
        </w:rPr>
        <w:t xml:space="preserve"> - О</w:t>
      </w:r>
      <w:r>
        <w:rPr>
          <w:rFonts w:eastAsia="Times New Roman" w:cs="Arial"/>
          <w:b/>
          <w:sz w:val="20"/>
          <w:szCs w:val="20"/>
          <w:lang w:val="sr-Cyrl-CS"/>
        </w:rPr>
        <w:t>премање</w:t>
      </w:r>
      <w:r w:rsidRPr="009D0478">
        <w:rPr>
          <w:rFonts w:eastAsia="Times New Roman" w:cs="Arial"/>
          <w:b/>
          <w:sz w:val="20"/>
          <w:szCs w:val="20"/>
          <w:lang w:val="sr-Cyrl-CS"/>
        </w:rPr>
        <w:t xml:space="preserve"> светлосном саобраћајном сигнализацијом (семафорима) пешачких прелаза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CD2F14">
            <w:pPr>
              <w:jc w:val="center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 xml:space="preserve">Град </w:t>
            </w: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Вршац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CD2F14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CD2F14">
              <w:rPr>
                <w:sz w:val="18"/>
                <w:szCs w:val="18"/>
                <w:lang w:val="sr-Cyrl-RS"/>
              </w:rPr>
              <w:t>Пројекат семафоризације пешачког прелаза преко државног пута II реда број 133 код школе "Жарко Зрењанин" у Избишту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2A519D" w:rsidRDefault="00CD2F14" w:rsidP="002E5C19">
            <w:pPr>
              <w:jc w:val="right"/>
              <w:rPr>
                <w:sz w:val="18"/>
                <w:szCs w:val="18"/>
              </w:rPr>
            </w:pPr>
            <w:r w:rsidRPr="002A519D">
              <w:rPr>
                <w:sz w:val="18"/>
                <w:szCs w:val="18"/>
              </w:rPr>
              <w:t>1.800.000,00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Default="002A519D" w:rsidP="002E5C19">
            <w:pPr>
              <w:jc w:val="right"/>
            </w:pPr>
            <w:r w:rsidRPr="006812DA">
              <w:rPr>
                <w:b/>
                <w:sz w:val="18"/>
                <w:szCs w:val="18"/>
              </w:rPr>
              <w:t>1.800.000,00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315C80" w:rsidRPr="00F8452B" w:rsidRDefault="002A519D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2A519D" w:rsidRPr="002A519D" w:rsidTr="00663D81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Опово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Опово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државном путу IIА-131 који пролази кроз насељена места Oпштине 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700.000,00</w:t>
            </w:r>
          </w:p>
        </w:tc>
      </w:tr>
      <w:tr w:rsidR="002A519D" w:rsidRPr="002A519D" w:rsidTr="00663D81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Ириг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Ириг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тeхничког регулисања саобраћаја на државним путевима у насељеним местима Општине Ириг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945.450,00</w:t>
            </w:r>
          </w:p>
        </w:tc>
      </w:tr>
      <w:tr w:rsidR="002A519D" w:rsidRPr="002A519D" w:rsidTr="00663D81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Житиште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сабраћајне сигнализације на државним путевима који пролазе кроз насеља Општине Жититиште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1.950.102,00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F8452B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</w:t>
            </w:r>
            <w:r w:rsidR="002A519D" w:rsidRPr="00086D72">
              <w:rPr>
                <w:sz w:val="18"/>
                <w:szCs w:val="18"/>
                <w:lang w:val="sr-Cyrl-RS"/>
              </w:rPr>
              <w:t xml:space="preserve">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техничке регулације саобраћаја на државним путевима у насељеним местима: Алекса Шантић, Бачки Брег, Бездан, Дорослово, Кљајићево, Колут, Риђица, Светозар Милетић, Обзир, Лугово, Станишић, Стапар, Телечка и Чонопља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3.356.160,00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Инђија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Инђија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на државним путевима на територији Општине Инђија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1.991.700,00</w:t>
            </w:r>
          </w:p>
        </w:tc>
      </w:tr>
      <w:tr w:rsidR="002A519D" w:rsidRPr="002A519D" w:rsidTr="00663D81">
        <w:trPr>
          <w:trHeight w:val="69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Беочин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Беочин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техничког регулисања саобраћаја државног пута IIA- 119, IIA-123 и  IIБ-313 у насељеним местима  на територији Општине Беочин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1.868.300,00</w:t>
            </w:r>
          </w:p>
        </w:tc>
      </w:tr>
      <w:tr w:rsidR="002A519D" w:rsidRPr="002A519D" w:rsidTr="00086D72">
        <w:trPr>
          <w:trHeight w:val="468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Пећинци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Пећинци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Техничка документација - техничко регулисање саобраћаја на државним путевима у насељеним местима Општине Пећинци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2.739.500,00</w:t>
            </w:r>
          </w:p>
        </w:tc>
      </w:tr>
      <w:tr w:rsidR="002A519D" w:rsidRPr="002A519D" w:rsidTr="00086D72">
        <w:trPr>
          <w:trHeight w:val="904"/>
        </w:trPr>
        <w:tc>
          <w:tcPr>
            <w:tcW w:w="817" w:type="dxa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9D" w:rsidRPr="00086D72" w:rsidRDefault="002A519D" w:rsidP="002A519D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Пројекат саобраћаја и саобраћајне сигнализације на државним путевима који пролазе кроз насељена места Града Зрењанина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19D" w:rsidRPr="00086D72" w:rsidRDefault="002A519D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3.572.300,00</w:t>
            </w:r>
          </w:p>
        </w:tc>
      </w:tr>
      <w:tr w:rsidR="002A519D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2A519D" w:rsidRPr="00086D72" w:rsidRDefault="002A519D" w:rsidP="002A519D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19D" w:rsidRPr="00086D72" w:rsidRDefault="00663D81" w:rsidP="002A519D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086D72">
              <w:rPr>
                <w:b/>
                <w:bCs/>
                <w:sz w:val="18"/>
                <w:szCs w:val="18"/>
                <w:lang w:val="sr-Cyrl-RS"/>
              </w:rPr>
              <w:t>17.123.512,00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Pr="00F8452B" w:rsidRDefault="00663D81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663D81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Сента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Сента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086D72" w:rsidRDefault="00663D81" w:rsidP="00663D81">
            <w:pPr>
              <w:jc w:val="both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Пројекат с</w:t>
            </w:r>
            <w:r w:rsidRPr="00086D72">
              <w:rPr>
                <w:sz w:val="18"/>
                <w:szCs w:val="18"/>
              </w:rPr>
              <w:t>емафоризације раскрснице улица Војислава Илића и Арпадова у Сенти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right"/>
              <w:rPr>
                <w:sz w:val="18"/>
                <w:szCs w:val="18"/>
              </w:rPr>
            </w:pPr>
            <w:r w:rsidRPr="00663D81">
              <w:rPr>
                <w:sz w:val="18"/>
                <w:szCs w:val="18"/>
              </w:rPr>
              <w:t>460.800,00</w:t>
            </w:r>
          </w:p>
        </w:tc>
      </w:tr>
      <w:tr w:rsidR="00663D81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663D81" w:rsidRDefault="00663D81" w:rsidP="002E5C19">
            <w:pPr>
              <w:jc w:val="right"/>
            </w:pPr>
            <w:r w:rsidRPr="006B6AEF">
              <w:rPr>
                <w:b/>
                <w:sz w:val="18"/>
                <w:szCs w:val="18"/>
              </w:rPr>
              <w:t>460.800,00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63D81" w:rsidRDefault="00663D81" w:rsidP="00663D81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="00F8452B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663D81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Житиште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Житиште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семафоризације пешачког прелаза на државном путу IБ-12 у Банатском Двору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500.000,00</w:t>
            </w:r>
          </w:p>
        </w:tc>
      </w:tr>
      <w:tr w:rsidR="00663D81" w:rsidRPr="00315C80" w:rsidTr="00F8452B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Стара П</w:t>
            </w:r>
            <w:r w:rsidRPr="00663D81">
              <w:rPr>
                <w:sz w:val="18"/>
                <w:szCs w:val="18"/>
                <w:lang w:val="sr-Cyrl-RS"/>
              </w:rPr>
              <w:t>азова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663D81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663D81">
              <w:rPr>
                <w:sz w:val="18"/>
                <w:szCs w:val="18"/>
                <w:lang w:val="sr-Cyrl-RS"/>
              </w:rPr>
              <w:t>Пројекат за постављање светлосне саобраћајне сигнализације  на пешачком прелазу у улици Вука Караџића у Старој Пазови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663D81" w:rsidP="00663D81">
            <w:pPr>
              <w:jc w:val="right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</w:rPr>
              <w:t>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663D81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850.000</w:t>
            </w:r>
            <w:r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F8452B" w:rsidRDefault="00F8452B" w:rsidP="00F8452B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И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зрада техничке документације и успостављање: система видео надзора, система за аутоматско препознавање таблица, система за мерење брзине возила и мониторинг центра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p w:rsidR="00315C80" w:rsidRPr="00385146" w:rsidRDefault="00315C80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275"/>
        <w:gridCol w:w="5137"/>
        <w:gridCol w:w="1417"/>
      </w:tblGrid>
      <w:tr w:rsidR="00485738" w:rsidRPr="00485738" w:rsidTr="000A5522">
        <w:trPr>
          <w:trHeight w:val="732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5738" w:rsidRPr="00F8452B" w:rsidRDefault="00485738" w:rsidP="00485738">
            <w:pPr>
              <w:jc w:val="center"/>
              <w:rPr>
                <w:b/>
                <w:sz w:val="18"/>
                <w:szCs w:val="18"/>
              </w:rPr>
            </w:pPr>
            <w:r w:rsidRPr="00F8452B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F8452B" w:rsidRPr="00385146" w:rsidTr="00F8452B">
        <w:trPr>
          <w:trHeight w:val="661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Општина Сремски Карловци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Сремски Карловци</w:t>
            </w:r>
          </w:p>
        </w:tc>
        <w:tc>
          <w:tcPr>
            <w:tcW w:w="5137" w:type="dxa"/>
            <w:tcBorders>
              <w:top w:val="double" w:sz="4" w:space="0" w:color="auto"/>
            </w:tcBorders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Уградња система електронског надзора саобраћаја у улици генерала Ђорђа Стратимировића у Сремским Карловцима, на ДП IIA-100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3.840.000,00</w:t>
            </w:r>
          </w:p>
        </w:tc>
      </w:tr>
      <w:tr w:rsidR="00F8452B" w:rsidRPr="00385146" w:rsidTr="00F8452B">
        <w:trPr>
          <w:trHeight w:val="69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Извођење радова на постављању система електронског надзора на 6 локација у Граду Сомбору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F8452B" w:rsidRPr="00385146" w:rsidTr="00F8452B">
        <w:trPr>
          <w:trHeight w:val="702"/>
        </w:trPr>
        <w:tc>
          <w:tcPr>
            <w:tcW w:w="959" w:type="dxa"/>
            <w:shd w:val="clear" w:color="auto" w:fill="auto"/>
            <w:noWrap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</w:rPr>
            </w:pPr>
            <w:r w:rsidRPr="00086D72"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137" w:type="dxa"/>
            <w:shd w:val="clear" w:color="auto" w:fill="auto"/>
          </w:tcPr>
          <w:p w:rsidR="00F8452B" w:rsidRPr="00086D72" w:rsidRDefault="00F8452B" w:rsidP="00F8452B">
            <w:pPr>
              <w:jc w:val="both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Увођење система за мерење брзине возила на раскрсници улица Милоша Великог, Стевана Синђелића и Стевана Сремца у Граду Кикинди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2B" w:rsidRPr="00086D72" w:rsidRDefault="00F8452B" w:rsidP="00F8452B">
            <w:pPr>
              <w:jc w:val="right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4.800.000,00</w:t>
            </w:r>
          </w:p>
        </w:tc>
      </w:tr>
      <w:tr w:rsidR="00CF02B3" w:rsidRPr="00385146" w:rsidTr="00A528F3">
        <w:trPr>
          <w:trHeight w:val="255"/>
        </w:trPr>
        <w:tc>
          <w:tcPr>
            <w:tcW w:w="8647" w:type="dxa"/>
            <w:gridSpan w:val="4"/>
            <w:shd w:val="clear" w:color="auto" w:fill="auto"/>
            <w:noWrap/>
          </w:tcPr>
          <w:p w:rsidR="00CF02B3" w:rsidRPr="00086D72" w:rsidRDefault="00CF02B3" w:rsidP="00CF02B3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</w:tcPr>
          <w:p w:rsidR="00CF02B3" w:rsidRPr="00086D72" w:rsidRDefault="00F8452B" w:rsidP="00783B11">
            <w:pPr>
              <w:jc w:val="right"/>
              <w:rPr>
                <w:b/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</w:rPr>
              <w:t>13.440.000,00</w:t>
            </w:r>
          </w:p>
        </w:tc>
      </w:tr>
    </w:tbl>
    <w:p w:rsidR="00783B11" w:rsidRDefault="00783B11" w:rsidP="00315C80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CC" w:rsidRDefault="002266CC" w:rsidP="00732FC8">
      <w:pPr>
        <w:spacing w:after="0" w:line="240" w:lineRule="auto"/>
      </w:pPr>
      <w:r>
        <w:separator/>
      </w:r>
    </w:p>
  </w:endnote>
  <w:endnote w:type="continuationSeparator" w:id="0">
    <w:p w:rsidR="002266CC" w:rsidRDefault="002266CC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CC" w:rsidRDefault="002266CC" w:rsidP="00732FC8">
      <w:pPr>
        <w:spacing w:after="0" w:line="240" w:lineRule="auto"/>
      </w:pPr>
      <w:r>
        <w:separator/>
      </w:r>
    </w:p>
  </w:footnote>
  <w:footnote w:type="continuationSeparator" w:id="0">
    <w:p w:rsidR="002266CC" w:rsidRDefault="002266CC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769A8"/>
    <w:rsid w:val="000827E9"/>
    <w:rsid w:val="00086237"/>
    <w:rsid w:val="00086D72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201486"/>
    <w:rsid w:val="00212913"/>
    <w:rsid w:val="0021577D"/>
    <w:rsid w:val="002266CC"/>
    <w:rsid w:val="002523BB"/>
    <w:rsid w:val="00264B58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5806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F4437"/>
    <w:rsid w:val="0050350E"/>
    <w:rsid w:val="00514EB7"/>
    <w:rsid w:val="00534396"/>
    <w:rsid w:val="00535108"/>
    <w:rsid w:val="00577268"/>
    <w:rsid w:val="00582B36"/>
    <w:rsid w:val="00592807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8788D"/>
    <w:rsid w:val="00991CB8"/>
    <w:rsid w:val="00996A72"/>
    <w:rsid w:val="00997764"/>
    <w:rsid w:val="009B5752"/>
    <w:rsid w:val="009C566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4CC0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07EF5"/>
    <w:rsid w:val="00F103DD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B541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30BC-4375-423C-A66C-CE4152BC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61</cp:revision>
  <cp:lastPrinted>2022-07-05T08:25:00Z</cp:lastPrinted>
  <dcterms:created xsi:type="dcterms:W3CDTF">2018-09-06T07:35:00Z</dcterms:created>
  <dcterms:modified xsi:type="dcterms:W3CDTF">2023-02-28T09:05:00Z</dcterms:modified>
</cp:coreProperties>
</file>